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DC75A5">
      <w:pPr>
        <w:spacing w:line="480" w:lineRule="auto"/>
        <w:jc w:val="center"/>
        <w:rPr>
          <w:rFonts w:ascii="Times New Roman" w:hAnsi="Times New Roman" w:cs="Times New Roman"/>
          <w:sz w:val="24"/>
          <w:szCs w:val="24"/>
        </w:rPr>
      </w:pPr>
      <w:r w:rsidRPr="0083701A">
        <w:rPr>
          <w:rFonts w:ascii="Times New Roman" w:hAnsi="Times New Roman" w:cs="Times New Roman"/>
          <w:sz w:val="24"/>
          <w:szCs w:val="24"/>
        </w:rPr>
        <w:t>European Union guidance on ethnic data</w:t>
      </w:r>
    </w:p>
    <w:p w:rsidR="0083701A" w:rsidRPr="0083701A" w:rsidRDefault="0083701A" w:rsidP="00DC75A5">
      <w:pPr>
        <w:spacing w:line="480" w:lineRule="auto"/>
        <w:jc w:val="center"/>
        <w:rPr>
          <w:rFonts w:ascii="Times New Roman" w:hAnsi="Times New Roman" w:cs="Times New Roman"/>
          <w:sz w:val="24"/>
          <w:szCs w:val="24"/>
        </w:rPr>
      </w:pPr>
      <w:r w:rsidRPr="0083701A">
        <w:rPr>
          <w:rFonts w:ascii="Times New Roman" w:hAnsi="Times New Roman" w:cs="Times New Roman"/>
          <w:sz w:val="24"/>
          <w:szCs w:val="24"/>
        </w:rPr>
        <w:t>Name</w:t>
      </w:r>
    </w:p>
    <w:p w:rsidR="0083701A" w:rsidRPr="0083701A" w:rsidRDefault="0083701A" w:rsidP="00DC75A5">
      <w:pPr>
        <w:spacing w:line="480" w:lineRule="auto"/>
        <w:jc w:val="center"/>
        <w:rPr>
          <w:rFonts w:ascii="Times New Roman" w:hAnsi="Times New Roman" w:cs="Times New Roman"/>
          <w:sz w:val="24"/>
          <w:szCs w:val="24"/>
        </w:rPr>
      </w:pPr>
      <w:r w:rsidRPr="0083701A">
        <w:rPr>
          <w:rFonts w:ascii="Times New Roman" w:hAnsi="Times New Roman" w:cs="Times New Roman"/>
          <w:sz w:val="24"/>
          <w:szCs w:val="24"/>
        </w:rPr>
        <w:t>Institution</w:t>
      </w: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83701A">
      <w:pPr>
        <w:spacing w:line="480" w:lineRule="auto"/>
        <w:rPr>
          <w:rFonts w:ascii="Times New Roman" w:hAnsi="Times New Roman" w:cs="Times New Roman"/>
          <w:sz w:val="24"/>
          <w:szCs w:val="24"/>
        </w:rPr>
      </w:pPr>
    </w:p>
    <w:p w:rsidR="0083701A" w:rsidRPr="0083701A" w:rsidRDefault="0083701A" w:rsidP="00DC75A5">
      <w:pPr>
        <w:spacing w:line="480" w:lineRule="auto"/>
        <w:ind w:left="1440" w:firstLine="720"/>
        <w:rPr>
          <w:rFonts w:ascii="Times New Roman" w:hAnsi="Times New Roman" w:cs="Times New Roman"/>
          <w:sz w:val="24"/>
          <w:szCs w:val="24"/>
        </w:rPr>
      </w:pPr>
      <w:r w:rsidRPr="0083701A">
        <w:rPr>
          <w:rFonts w:ascii="Times New Roman" w:hAnsi="Times New Roman" w:cs="Times New Roman"/>
          <w:sz w:val="24"/>
          <w:szCs w:val="24"/>
        </w:rPr>
        <w:lastRenderedPageBreak/>
        <w:t xml:space="preserve">     European Union guidance on ethnic data</w:t>
      </w:r>
    </w:p>
    <w:p w:rsidR="00DC75A5"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Made of people from different races and ethnic groups, the European Union is a region with a high prevalence of</w:t>
      </w:r>
      <w:r w:rsidR="00C86F0C">
        <w:rPr>
          <w:rFonts w:ascii="Times New Roman" w:hAnsi="Times New Roman" w:cs="Times New Roman"/>
          <w:sz w:val="24"/>
          <w:szCs w:val="24"/>
        </w:rPr>
        <w:t xml:space="preserve"> racial discrimination marked by harassment, inequalities</w:t>
      </w:r>
      <w:r w:rsidRPr="0083701A">
        <w:rPr>
          <w:rFonts w:ascii="Times New Roman" w:hAnsi="Times New Roman" w:cs="Times New Roman"/>
          <w:sz w:val="24"/>
          <w:szCs w:val="24"/>
        </w:rPr>
        <w:t>, and prejudice between ethnic groups and races. It is a theme th</w:t>
      </w:r>
      <w:bookmarkStart w:id="0" w:name="_GoBack"/>
      <w:bookmarkEnd w:id="0"/>
      <w:r w:rsidRPr="0083701A">
        <w:rPr>
          <w:rFonts w:ascii="Times New Roman" w:hAnsi="Times New Roman" w:cs="Times New Roman"/>
          <w:sz w:val="24"/>
          <w:szCs w:val="24"/>
        </w:rPr>
        <w:t xml:space="preserve">at has adversely eroded the fundamentals of human rights and the growth of a just society. Different Movements and approaches have been employed to combat this issue and create a just and democratic society. However, the predominance of racism continues to elevate from one period to another. </w:t>
      </w:r>
    </w:p>
    <w:p w:rsidR="0083701A" w:rsidRPr="0083701A"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 xml:space="preserve">Historically, xenophobia and ethnic genocide war initiated the formation of antiracism agencies, suspension of bilateral trades, and amendment of treaties to safeguard human rights and standard law. While such efforts were believed to combat racial discrimination, they lacked the guidance of ethnic data. Perhaps this the reason as to why the employed strategies have not bared significant </w:t>
      </w:r>
      <w:r w:rsidR="00DC75A5" w:rsidRPr="0083701A">
        <w:rPr>
          <w:rFonts w:ascii="Times New Roman" w:hAnsi="Times New Roman" w:cs="Times New Roman"/>
          <w:sz w:val="24"/>
          <w:szCs w:val="24"/>
        </w:rPr>
        <w:t>fruits. In</w:t>
      </w:r>
      <w:r w:rsidRPr="0083701A">
        <w:rPr>
          <w:rFonts w:ascii="Times New Roman" w:hAnsi="Times New Roman" w:cs="Times New Roman"/>
          <w:sz w:val="24"/>
          <w:szCs w:val="24"/>
        </w:rPr>
        <w:t xml:space="preserve"> light of the fact that race is a social construct that evolves with time, it is a requirement to have ethnic data as a source of inference when fighting racial discrimination. Hence, based on this argument it is agreeable that while efforts have been employed to fight racial discrimination in European Union, failure to give the guidance of ethnic data sufficient attention retards the European commitment of promoting racial equality.</w:t>
      </w:r>
    </w:p>
    <w:p w:rsidR="00DC75A5"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 xml:space="preserve">Like in other nations, racial discrimination impacts on a multifaceted category of the population while also creating different sorts of discrimination to this population. Generally, the European Union is made up of more than 100 ethnic groups that face racial discrimination on different measures. For example, Inequality in housing, health, education, criminal justice, and unemployment are all sorts of discrimination experienced at different measures. It means that it is only through the measurement and analysis of such factors that mitigations to eradicate racial discrimination can be successful. Hence, any commitment to solve discrimination ought to be in </w:t>
      </w:r>
      <w:r w:rsidRPr="0083701A">
        <w:rPr>
          <w:rFonts w:ascii="Times New Roman" w:hAnsi="Times New Roman" w:cs="Times New Roman"/>
          <w:sz w:val="24"/>
          <w:szCs w:val="24"/>
        </w:rPr>
        <w:lastRenderedPageBreak/>
        <w:t xml:space="preserve">line with this dataset in order to be effective and professional. While the European Union data statistical framework seems to reflect the above consideration, it has not meaningfully, considered the guidance on ethnic data as the most credible approach to combat racial discrimination. Among its consideration, are common health indicators, and partial consideration of social data (Chahn, 2004). Instead, more emphasis is made on the adoption of anti-discrimination directives that focus on ending discrimination treatments in criminal justice. It means that the inclusion of ethnic data as a guidance of formulation is partially utilized.  As much as it can support some aspects such as health equality, it is not significant enough to cater for social issues such as gender equality in education, employment, and politics. </w:t>
      </w:r>
    </w:p>
    <w:p w:rsidR="00DC75A5"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 xml:space="preserve"> In essence, the significance of ethnic data lies on combined forces that entail consistent experience with the policies of gender equality, increased attention to social field data, and vigorous formulation of new laws pertaining racial discrimination and equality (Chahn, 2004). In this case, consistent experience with policies of gender equality depends on the ability to empirically measure and analyze social data that is occasionally race-based. As seen earlier, social data evolves with time and changes in society structure. As such, one time data cannot be relied upon as a representative of general social inequality. Hence, time-framed ethnic data measurement needs to be done while accompanying it with the formulation of new policies. By so doing, existing and new sorts of discrimination end up being cleared thus creating a race-neutral society free from racial discrimination. </w:t>
      </w:r>
    </w:p>
    <w:p w:rsidR="00DC75A5"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 xml:space="preserve">Increased attention to social field data implies focusing on social parameters that depict the development and survival of racial discrimination. For example, quantifying the ascribed characteristics of a population such as economic situations and changing society norms provides a platform for policy formulation subject to the identified traits. This ensures that racial </w:t>
      </w:r>
      <w:r w:rsidRPr="0083701A">
        <w:rPr>
          <w:rFonts w:ascii="Times New Roman" w:hAnsi="Times New Roman" w:cs="Times New Roman"/>
          <w:sz w:val="24"/>
          <w:szCs w:val="24"/>
        </w:rPr>
        <w:lastRenderedPageBreak/>
        <w:t xml:space="preserve">discrimination is attended in respect to how it exists in the society. Equally, laws formulation should be a result of ethnic data provisions. When discriminatory laws are formed in response to social data, biases such as omission and shallow analyses are avoided thus retaining the integrity and significance of a policy. </w:t>
      </w:r>
    </w:p>
    <w:p w:rsidR="0083701A" w:rsidRPr="0083701A"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Combined, the above guidance on ethnic data provides a comprehensive approach towards solving the phenomenon of racial discrimination. Hence, it is the attention of such approaches that lack in the EU fight against racial inequality. In particular, the European social statistics on poverty, income, and social exclusion provides no data on the minority groups of the European Union (Chahn, 2004). Similarly, the December 2001 European council had no provision of data by ethnicity. These are among the indicators that prove that indeed the efficacy of ethnic-based data guidance in racial discriminatory policy formulation has been shallowly embraced in the European Union.</w:t>
      </w:r>
    </w:p>
    <w:p w:rsidR="0083701A" w:rsidRPr="0083701A" w:rsidRDefault="0083701A" w:rsidP="00DC75A5">
      <w:pPr>
        <w:spacing w:line="480" w:lineRule="auto"/>
        <w:ind w:firstLine="720"/>
        <w:rPr>
          <w:rFonts w:ascii="Times New Roman" w:hAnsi="Times New Roman" w:cs="Times New Roman"/>
          <w:sz w:val="24"/>
          <w:szCs w:val="24"/>
        </w:rPr>
      </w:pPr>
      <w:r w:rsidRPr="0083701A">
        <w:rPr>
          <w:rFonts w:ascii="Times New Roman" w:hAnsi="Times New Roman" w:cs="Times New Roman"/>
          <w:sz w:val="24"/>
          <w:szCs w:val="24"/>
        </w:rPr>
        <w:t>To conclude, the fight to end racial discrimination in the European Union remains adamant as much guidance from ethnic data is not given sufficient attention to enhance policy changes. Through the analyses, it is proved that measurement and analyses of ethnic data are the core element of consideration for any mitigation aimed at solving racial inequality in a multifaceted society. While little focus has been drawn by the European data activities much focus has not been engaged in retrieving ethnic data or ascribed data characteristics that bear discriminatory aspects. Also, consistency and law formulation based on ethnic data is quite neglected in the European Union thus leading to retarded changes in fighting racial inequality. Therefore, it is only through comprehensive consideration of ethnic data that the European nation would be able to effectively combat racial discrimination.</w:t>
      </w:r>
    </w:p>
    <w:p w:rsidR="00DC75A5" w:rsidRDefault="00DC75A5" w:rsidP="0083701A">
      <w:pPr>
        <w:spacing w:line="480" w:lineRule="auto"/>
        <w:rPr>
          <w:rFonts w:ascii="Times New Roman" w:hAnsi="Times New Roman" w:cs="Times New Roman"/>
          <w:sz w:val="24"/>
          <w:szCs w:val="24"/>
        </w:rPr>
      </w:pPr>
    </w:p>
    <w:p w:rsidR="00DC75A5" w:rsidRDefault="00DC75A5" w:rsidP="00DC75A5">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lastRenderedPageBreak/>
        <w:t>Reference</w:t>
      </w:r>
    </w:p>
    <w:p w:rsidR="002C1F60" w:rsidRPr="00FC77CA" w:rsidRDefault="0083701A" w:rsidP="00DC75A5">
      <w:pPr>
        <w:spacing w:line="480" w:lineRule="auto"/>
        <w:ind w:left="720" w:hanging="720"/>
        <w:rPr>
          <w:rFonts w:ascii="Times New Roman" w:hAnsi="Times New Roman" w:cs="Times New Roman"/>
          <w:sz w:val="24"/>
          <w:szCs w:val="24"/>
        </w:rPr>
      </w:pPr>
      <w:r w:rsidRPr="0083701A">
        <w:rPr>
          <w:rFonts w:ascii="Times New Roman" w:hAnsi="Times New Roman" w:cs="Times New Roman"/>
          <w:sz w:val="24"/>
          <w:szCs w:val="24"/>
        </w:rPr>
        <w:t>Cahn, C. (2004). Void at the center :( The lack of) European Union guidance on ethnic data. Roma Rights Quarterly, (2), 30-37.</w:t>
      </w:r>
    </w:p>
    <w:sectPr w:rsidR="002C1F60" w:rsidRPr="00FC77CA" w:rsidSect="009944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387" w:rsidRDefault="00291387" w:rsidP="0099445C">
      <w:pPr>
        <w:spacing w:after="0" w:line="240" w:lineRule="auto"/>
      </w:pPr>
      <w:r>
        <w:separator/>
      </w:r>
    </w:p>
  </w:endnote>
  <w:endnote w:type="continuationSeparator" w:id="0">
    <w:p w:rsidR="00291387" w:rsidRDefault="00291387" w:rsidP="0099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387" w:rsidRDefault="00291387" w:rsidP="0099445C">
      <w:pPr>
        <w:spacing w:after="0" w:line="240" w:lineRule="auto"/>
      </w:pPr>
      <w:r>
        <w:separator/>
      </w:r>
    </w:p>
  </w:footnote>
  <w:footnote w:type="continuationSeparator" w:id="0">
    <w:p w:rsidR="00291387" w:rsidRDefault="00291387" w:rsidP="00994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1860608"/>
      <w:docPartObj>
        <w:docPartGallery w:val="Page Numbers (Top of Page)"/>
        <w:docPartUnique/>
      </w:docPartObj>
    </w:sdtPr>
    <w:sdtEndPr>
      <w:rPr>
        <w:noProof/>
      </w:rPr>
    </w:sdtEndPr>
    <w:sdtContent>
      <w:p w:rsidR="0099445C" w:rsidRPr="00EC4503" w:rsidRDefault="00EC4503">
        <w:pPr>
          <w:pStyle w:val="Header"/>
          <w:rPr>
            <w:rFonts w:ascii="Times New Roman" w:hAnsi="Times New Roman" w:cs="Times New Roman"/>
            <w:sz w:val="24"/>
            <w:szCs w:val="24"/>
          </w:rPr>
        </w:pPr>
        <w:r w:rsidRPr="00EC4503">
          <w:rPr>
            <w:rFonts w:ascii="Times New Roman" w:hAnsi="Times New Roman" w:cs="Times New Roman"/>
            <w:sz w:val="24"/>
            <w:szCs w:val="24"/>
          </w:rPr>
          <w:t>EUROPEAN UNION GUIDANCE ON ETHNIC DATA</w:t>
        </w:r>
        <w:r>
          <w:rPr>
            <w:rFonts w:ascii="Times New Roman" w:hAnsi="Times New Roman" w:cs="Times New Roman"/>
            <w:sz w:val="24"/>
            <w:szCs w:val="24"/>
          </w:rPr>
          <w:tab/>
        </w:r>
        <w:r w:rsidR="0099445C" w:rsidRPr="00EC4503">
          <w:rPr>
            <w:rFonts w:ascii="Times New Roman" w:hAnsi="Times New Roman" w:cs="Times New Roman"/>
            <w:sz w:val="24"/>
            <w:szCs w:val="24"/>
          </w:rPr>
          <w:fldChar w:fldCharType="begin"/>
        </w:r>
        <w:r w:rsidR="0099445C" w:rsidRPr="00EC4503">
          <w:rPr>
            <w:rFonts w:ascii="Times New Roman" w:hAnsi="Times New Roman" w:cs="Times New Roman"/>
            <w:sz w:val="24"/>
            <w:szCs w:val="24"/>
          </w:rPr>
          <w:instrText xml:space="preserve"> PAGE   \* MERGEFORMAT </w:instrText>
        </w:r>
        <w:r w:rsidR="0099445C" w:rsidRPr="00EC4503">
          <w:rPr>
            <w:rFonts w:ascii="Times New Roman" w:hAnsi="Times New Roman" w:cs="Times New Roman"/>
            <w:sz w:val="24"/>
            <w:szCs w:val="24"/>
          </w:rPr>
          <w:fldChar w:fldCharType="separate"/>
        </w:r>
        <w:r w:rsidR="00C86F0C">
          <w:rPr>
            <w:rFonts w:ascii="Times New Roman" w:hAnsi="Times New Roman" w:cs="Times New Roman"/>
            <w:noProof/>
            <w:sz w:val="24"/>
            <w:szCs w:val="24"/>
          </w:rPr>
          <w:t>5</w:t>
        </w:r>
        <w:r w:rsidR="0099445C" w:rsidRPr="00EC4503">
          <w:rPr>
            <w:rFonts w:ascii="Times New Roman" w:hAnsi="Times New Roman" w:cs="Times New Roman"/>
            <w:noProof/>
            <w:sz w:val="24"/>
            <w:szCs w:val="24"/>
          </w:rPr>
          <w:fldChar w:fldCharType="end"/>
        </w:r>
      </w:p>
    </w:sdtContent>
  </w:sdt>
  <w:p w:rsidR="0099445C" w:rsidRPr="00EC4503" w:rsidRDefault="009944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45C" w:rsidRPr="0099445C" w:rsidRDefault="0099445C">
    <w:pPr>
      <w:pStyle w:val="Header"/>
      <w:rPr>
        <w:rFonts w:ascii="Times New Roman" w:hAnsi="Times New Roman" w:cs="Times New Roman"/>
        <w:sz w:val="24"/>
        <w:szCs w:val="24"/>
      </w:rPr>
    </w:pPr>
    <w:r w:rsidRPr="0099445C">
      <w:rPr>
        <w:rFonts w:ascii="Times New Roman" w:hAnsi="Times New Roman" w:cs="Times New Roman"/>
        <w:sz w:val="24"/>
        <w:szCs w:val="24"/>
      </w:rPr>
      <w:t>Running head: EUROPEAN UNION GUIDANCE ON ETHNIC DATA</w:t>
    </w:r>
    <w:sdt>
      <w:sdtPr>
        <w:rPr>
          <w:rFonts w:ascii="Times New Roman" w:hAnsi="Times New Roman" w:cs="Times New Roman"/>
          <w:sz w:val="24"/>
          <w:szCs w:val="24"/>
        </w:rPr>
        <w:id w:val="-799151802"/>
        <w:docPartObj>
          <w:docPartGallery w:val="Page Numbers (Top of Page)"/>
          <w:docPartUnique/>
        </w:docPartObj>
      </w:sdtPr>
      <w:sdtEndPr>
        <w:rPr>
          <w:noProof/>
        </w:rPr>
      </w:sdtEndPr>
      <w:sdtContent>
        <w:r>
          <w:rPr>
            <w:rFonts w:ascii="Times New Roman" w:hAnsi="Times New Roman" w:cs="Times New Roman"/>
            <w:sz w:val="24"/>
            <w:szCs w:val="24"/>
          </w:rPr>
          <w:tab/>
        </w:r>
        <w:r w:rsidRPr="0099445C">
          <w:rPr>
            <w:rFonts w:ascii="Times New Roman" w:hAnsi="Times New Roman" w:cs="Times New Roman"/>
            <w:sz w:val="24"/>
            <w:szCs w:val="24"/>
          </w:rPr>
          <w:fldChar w:fldCharType="begin"/>
        </w:r>
        <w:r w:rsidRPr="0099445C">
          <w:rPr>
            <w:rFonts w:ascii="Times New Roman" w:hAnsi="Times New Roman" w:cs="Times New Roman"/>
            <w:sz w:val="24"/>
            <w:szCs w:val="24"/>
          </w:rPr>
          <w:instrText xml:space="preserve"> PAGE   \* MERGEFORMAT </w:instrText>
        </w:r>
        <w:r w:rsidRPr="0099445C">
          <w:rPr>
            <w:rFonts w:ascii="Times New Roman" w:hAnsi="Times New Roman" w:cs="Times New Roman"/>
            <w:sz w:val="24"/>
            <w:szCs w:val="24"/>
          </w:rPr>
          <w:fldChar w:fldCharType="separate"/>
        </w:r>
        <w:r w:rsidR="00FF716F">
          <w:rPr>
            <w:rFonts w:ascii="Times New Roman" w:hAnsi="Times New Roman" w:cs="Times New Roman"/>
            <w:noProof/>
            <w:sz w:val="24"/>
            <w:szCs w:val="24"/>
          </w:rPr>
          <w:t>1</w:t>
        </w:r>
        <w:r w:rsidRPr="0099445C">
          <w:rPr>
            <w:rFonts w:ascii="Times New Roman" w:hAnsi="Times New Roman" w:cs="Times New Roman"/>
            <w:noProof/>
            <w:sz w:val="24"/>
            <w:szCs w:val="24"/>
          </w:rPr>
          <w:fldChar w:fldCharType="end"/>
        </w:r>
      </w:sdtContent>
    </w:sdt>
  </w:p>
  <w:p w:rsidR="0099445C" w:rsidRPr="0099445C" w:rsidRDefault="0099445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45C"/>
    <w:rsid w:val="000A16CB"/>
    <w:rsid w:val="000B4F48"/>
    <w:rsid w:val="00117435"/>
    <w:rsid w:val="00184D1F"/>
    <w:rsid w:val="00197E26"/>
    <w:rsid w:val="001D22B4"/>
    <w:rsid w:val="001D5537"/>
    <w:rsid w:val="00213208"/>
    <w:rsid w:val="00291387"/>
    <w:rsid w:val="002B5297"/>
    <w:rsid w:val="002C1F60"/>
    <w:rsid w:val="003A5E8F"/>
    <w:rsid w:val="00455978"/>
    <w:rsid w:val="00490AD1"/>
    <w:rsid w:val="005625CE"/>
    <w:rsid w:val="005D3AAD"/>
    <w:rsid w:val="00603A1E"/>
    <w:rsid w:val="0065565D"/>
    <w:rsid w:val="00655A45"/>
    <w:rsid w:val="007A6202"/>
    <w:rsid w:val="0083701A"/>
    <w:rsid w:val="00884B7B"/>
    <w:rsid w:val="008B2ECA"/>
    <w:rsid w:val="009138CC"/>
    <w:rsid w:val="0099445C"/>
    <w:rsid w:val="00A26CFD"/>
    <w:rsid w:val="00AD5A51"/>
    <w:rsid w:val="00AE0CCF"/>
    <w:rsid w:val="00B11E88"/>
    <w:rsid w:val="00B213AA"/>
    <w:rsid w:val="00B23BA7"/>
    <w:rsid w:val="00B86E01"/>
    <w:rsid w:val="00B91903"/>
    <w:rsid w:val="00BA7CA2"/>
    <w:rsid w:val="00C86F0C"/>
    <w:rsid w:val="00D42A56"/>
    <w:rsid w:val="00D44855"/>
    <w:rsid w:val="00D46557"/>
    <w:rsid w:val="00D73400"/>
    <w:rsid w:val="00DB28C9"/>
    <w:rsid w:val="00DC75A5"/>
    <w:rsid w:val="00EA10D7"/>
    <w:rsid w:val="00EC09F5"/>
    <w:rsid w:val="00EC4503"/>
    <w:rsid w:val="00EC6025"/>
    <w:rsid w:val="00F21C3B"/>
    <w:rsid w:val="00F67DF5"/>
    <w:rsid w:val="00FC77CA"/>
    <w:rsid w:val="00FF7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ECF5F-A7DC-4724-A592-043D13F3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45C"/>
  </w:style>
  <w:style w:type="paragraph" w:styleId="Footer">
    <w:name w:val="footer"/>
    <w:basedOn w:val="Normal"/>
    <w:link w:val="FooterChar"/>
    <w:uiPriority w:val="99"/>
    <w:unhideWhenUsed/>
    <w:rsid w:val="00994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31</cp:revision>
  <dcterms:created xsi:type="dcterms:W3CDTF">2019-10-24T08:23:00Z</dcterms:created>
  <dcterms:modified xsi:type="dcterms:W3CDTF">2019-10-24T11:57:00Z</dcterms:modified>
</cp:coreProperties>
</file>